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DF" w:rsidRDefault="006622DF" w:rsidP="00940C33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B6D">
        <w:rPr>
          <w:sz w:val="28"/>
          <w:szCs w:val="28"/>
        </w:rPr>
        <w:t xml:space="preserve">                                                     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Pr="00400962" w:rsidRDefault="006622DF" w:rsidP="006622DF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9023FA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27</w:t>
      </w:r>
      <w:r w:rsidR="007A3AB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A3AB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7A3AB7">
        <w:rPr>
          <w:sz w:val="28"/>
          <w:szCs w:val="28"/>
        </w:rPr>
        <w:t xml:space="preserve"> 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 w:rsidR="004322DB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6622DF">
        <w:rPr>
          <w:sz w:val="28"/>
          <w:szCs w:val="28"/>
        </w:rPr>
        <w:t xml:space="preserve">                                </w:t>
      </w:r>
      <w:r w:rsidR="00B45217">
        <w:rPr>
          <w:sz w:val="28"/>
          <w:szCs w:val="28"/>
        </w:rPr>
        <w:t xml:space="preserve"> 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</w:t>
      </w:r>
      <w:r w:rsidR="00940C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 Песчанокопского сельского поселения Песчанокопского района»  и бюджетным</w:t>
      </w:r>
      <w:proofErr w:type="gramEnd"/>
      <w:r w:rsidR="006622DF" w:rsidRPr="000E6E7A">
        <w:rPr>
          <w:b w:val="0"/>
          <w:szCs w:val="28"/>
        </w:rPr>
        <w:t xml:space="preserve">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4322DB" w:rsidRDefault="004322DB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39288E" w:rsidRDefault="0039288E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lastRenderedPageBreak/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proofErr w:type="gramStart"/>
      <w:r w:rsidR="00A178ED">
        <w:rPr>
          <w:b w:val="0"/>
        </w:rPr>
        <w:t>согласно приложения</w:t>
      </w:r>
      <w:proofErr w:type="gram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940C33" w:rsidRDefault="00F373DE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</w:t>
      </w:r>
      <w:r w:rsidR="00B45217">
        <w:rPr>
          <w:b w:val="0"/>
        </w:rPr>
        <w:t xml:space="preserve">, </w:t>
      </w:r>
      <w:r w:rsidR="00B45217" w:rsidRPr="00B45217">
        <w:rPr>
          <w:b w:val="0"/>
          <w:szCs w:val="28"/>
        </w:rPr>
        <w:t>но не ранее дня официального обнародования</w:t>
      </w:r>
      <w:r w:rsidR="00B45217">
        <w:rPr>
          <w:b w:val="0"/>
          <w:szCs w:val="28"/>
        </w:rPr>
        <w:t xml:space="preserve"> </w:t>
      </w:r>
      <w:r w:rsidR="00B45217" w:rsidRPr="00BD10F2">
        <w:rPr>
          <w:b w:val="0"/>
        </w:rPr>
        <w:t>на официальном сайте Администрации Песчанокопского сельс</w:t>
      </w:r>
      <w:r w:rsidR="00B45217">
        <w:rPr>
          <w:b w:val="0"/>
        </w:rPr>
        <w:t>кого поселения, в сети интернет</w:t>
      </w:r>
      <w:r w:rsidRPr="00B45217">
        <w:rPr>
          <w:b w:val="0"/>
        </w:rPr>
        <w:t>.</w:t>
      </w:r>
      <w:r w:rsidR="006622DF">
        <w:rPr>
          <w:b w:val="0"/>
        </w:rPr>
        <w:t xml:space="preserve">        </w:t>
      </w:r>
    </w:p>
    <w:p w:rsidR="00AA0919" w:rsidRDefault="006622DF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6622DF" w:rsidRDefault="00F373DE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9A6E0F" w:rsidRDefault="009A6E0F" w:rsidP="009A6E0F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lang w:val="ru-RU" w:eastAsia="ru-RU" w:bidi="ar-SA"/>
        </w:rPr>
      </w:pPr>
    </w:p>
    <w:p w:rsidR="009A6E0F" w:rsidRDefault="004073F6" w:rsidP="004073F6">
      <w:pPr>
        <w:pStyle w:val="Standard"/>
        <w:ind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A6E0F">
        <w:rPr>
          <w:sz w:val="28"/>
          <w:szCs w:val="28"/>
          <w:lang w:val="ru-RU"/>
        </w:rPr>
        <w:t>лав</w:t>
      </w:r>
      <w:r w:rsidR="0039288E">
        <w:rPr>
          <w:sz w:val="28"/>
          <w:szCs w:val="28"/>
          <w:lang w:val="ru-RU"/>
        </w:rPr>
        <w:t>а</w:t>
      </w:r>
      <w:r w:rsidR="009A6E0F">
        <w:rPr>
          <w:sz w:val="28"/>
          <w:szCs w:val="28"/>
          <w:lang w:val="ru-RU"/>
        </w:rPr>
        <w:t xml:space="preserve"> Песчанокопского</w:t>
      </w:r>
    </w:p>
    <w:p w:rsidR="006622DF" w:rsidRDefault="009A6E0F" w:rsidP="009A6E0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 w:rsidRPr="009A6E0F">
        <w:rPr>
          <w:b w:val="0"/>
          <w:szCs w:val="28"/>
        </w:rPr>
        <w:t>сельского поселения</w:t>
      </w:r>
      <w:r>
        <w:rPr>
          <w:szCs w:val="28"/>
        </w:rPr>
        <w:t xml:space="preserve">                                                                               </w:t>
      </w:r>
      <w:r w:rsidR="004073F6">
        <w:rPr>
          <w:b w:val="0"/>
          <w:szCs w:val="28"/>
        </w:rPr>
        <w:t>Ю.Г.Алисов</w:t>
      </w:r>
      <w:r>
        <w:rPr>
          <w:szCs w:val="28"/>
        </w:rPr>
        <w:t xml:space="preserve">  </w:t>
      </w:r>
      <w:r w:rsidR="006622DF">
        <w:rPr>
          <w:b w:val="0"/>
        </w:rPr>
        <w:t xml:space="preserve">  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5D6FE7" w:rsidRDefault="005D6FE7" w:rsidP="00C66E44">
      <w:pPr>
        <w:pStyle w:val="a7"/>
        <w:rPr>
          <w:lang w:eastAsia="ru-RU"/>
        </w:rPr>
      </w:pPr>
    </w:p>
    <w:p w:rsidR="00FD2912" w:rsidRDefault="00FD2912" w:rsidP="00E62CCA">
      <w:pPr>
        <w:pStyle w:val="a7"/>
        <w:rPr>
          <w:lang w:eastAsia="ru-RU"/>
        </w:rPr>
      </w:pPr>
    </w:p>
    <w:p w:rsidR="00936131" w:rsidRPr="00BF7B48" w:rsidRDefault="00C66E44" w:rsidP="00E62CCA">
      <w:pPr>
        <w:pStyle w:val="a7"/>
        <w:rPr>
          <w:spacing w:val="-2"/>
          <w:sz w:val="28"/>
          <w:szCs w:val="28"/>
        </w:rPr>
      </w:pPr>
      <w:r>
        <w:rPr>
          <w:lang w:eastAsia="ru-RU"/>
        </w:rPr>
        <w:t xml:space="preserve">                                   </w:t>
      </w:r>
      <w:r w:rsidR="00BF7B48">
        <w:rPr>
          <w:lang w:eastAsia="ru-RU"/>
        </w:rPr>
        <w:t xml:space="preserve">                               </w:t>
      </w:r>
      <w:r w:rsidR="005D6FE7">
        <w:rPr>
          <w:spacing w:val="-2"/>
          <w:sz w:val="28"/>
          <w:szCs w:val="28"/>
        </w:rPr>
        <w:t xml:space="preserve">     </w:t>
      </w:r>
      <w:r w:rsidR="00E62CCA" w:rsidRPr="00BF7B48">
        <w:rPr>
          <w:i/>
          <w:spacing w:val="-2"/>
          <w:sz w:val="28"/>
          <w:szCs w:val="28"/>
        </w:rPr>
        <w:t xml:space="preserve">    </w:t>
      </w:r>
      <w:r w:rsidR="00FD2912">
        <w:rPr>
          <w:spacing w:val="-2"/>
          <w:sz w:val="28"/>
          <w:szCs w:val="28"/>
        </w:rPr>
        <w:t xml:space="preserve">                 </w:t>
      </w:r>
      <w:r w:rsidR="00BF7B48" w:rsidRPr="00BF7B48">
        <w:rPr>
          <w:spacing w:val="-2"/>
          <w:sz w:val="28"/>
          <w:szCs w:val="28"/>
        </w:rPr>
        <w:t xml:space="preserve">                            </w:t>
      </w:r>
      <w:r w:rsidR="00E62CCA" w:rsidRPr="00BF7B48">
        <w:rPr>
          <w:spacing w:val="-2"/>
          <w:sz w:val="28"/>
          <w:szCs w:val="28"/>
        </w:rPr>
        <w:t xml:space="preserve">                                 </w:t>
      </w:r>
    </w:p>
    <w:p w:rsidR="009023FA" w:rsidRDefault="00936131" w:rsidP="00936131">
      <w:pPr>
        <w:pStyle w:val="a7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</w:t>
      </w:r>
      <w:r w:rsidR="00495218">
        <w:rPr>
          <w:spacing w:val="-2"/>
          <w:sz w:val="28"/>
          <w:szCs w:val="28"/>
        </w:rPr>
        <w:t xml:space="preserve"> </w:t>
      </w:r>
    </w:p>
    <w:p w:rsidR="00064EE4" w:rsidRPr="004B4472" w:rsidRDefault="009023FA" w:rsidP="00936131">
      <w:pPr>
        <w:pStyle w:val="a7"/>
        <w:jc w:val="center"/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 </w:t>
      </w:r>
      <w:r w:rsidR="00064EE4" w:rsidRPr="004B4472">
        <w:rPr>
          <w:bCs/>
          <w:color w:val="000000"/>
          <w:sz w:val="28"/>
          <w:szCs w:val="28"/>
        </w:rPr>
        <w:t>Приложение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9023FA">
        <w:rPr>
          <w:bCs/>
          <w:color w:val="000000"/>
          <w:sz w:val="28"/>
          <w:szCs w:val="28"/>
        </w:rPr>
        <w:t>27</w:t>
      </w:r>
      <w:r w:rsidR="003A2CAC">
        <w:rPr>
          <w:bCs/>
          <w:color w:val="000000"/>
          <w:sz w:val="28"/>
          <w:szCs w:val="28"/>
        </w:rPr>
        <w:t>.</w:t>
      </w:r>
      <w:r w:rsidR="009023FA">
        <w:rPr>
          <w:bCs/>
          <w:color w:val="000000"/>
          <w:sz w:val="28"/>
          <w:szCs w:val="28"/>
        </w:rPr>
        <w:t>03</w:t>
      </w:r>
      <w:r w:rsidR="003A2CAC">
        <w:rPr>
          <w:bCs/>
          <w:color w:val="000000"/>
          <w:sz w:val="28"/>
          <w:szCs w:val="28"/>
        </w:rPr>
        <w:t>.201</w:t>
      </w:r>
      <w:r w:rsidR="009023FA">
        <w:rPr>
          <w:bCs/>
          <w:color w:val="000000"/>
          <w:sz w:val="28"/>
          <w:szCs w:val="28"/>
        </w:rPr>
        <w:t>7</w:t>
      </w:r>
      <w:r w:rsidR="003A2CAC">
        <w:rPr>
          <w:bCs/>
          <w:color w:val="000000"/>
          <w:sz w:val="28"/>
          <w:szCs w:val="28"/>
        </w:rPr>
        <w:t xml:space="preserve"> № </w:t>
      </w:r>
      <w:r w:rsidR="009023FA">
        <w:rPr>
          <w:bCs/>
          <w:color w:val="000000"/>
          <w:sz w:val="28"/>
          <w:szCs w:val="28"/>
        </w:rPr>
        <w:t>48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подсистемы единой государственной системы </w:t>
            </w:r>
            <w:r>
              <w:rPr>
                <w:bCs/>
                <w:sz w:val="28"/>
                <w:szCs w:val="28"/>
              </w:rPr>
              <w:lastRenderedPageBreak/>
              <w:t>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51F">
              <w:rPr>
                <w:b/>
                <w:sz w:val="28"/>
                <w:szCs w:val="28"/>
              </w:rPr>
              <w:t> </w:t>
            </w:r>
            <w:r w:rsidR="009C4C24">
              <w:rPr>
                <w:b/>
                <w:sz w:val="28"/>
                <w:szCs w:val="28"/>
              </w:rPr>
              <w:t>6</w:t>
            </w:r>
            <w:r w:rsidR="00D872AA">
              <w:rPr>
                <w:b/>
                <w:sz w:val="28"/>
                <w:szCs w:val="28"/>
              </w:rPr>
              <w:t>00</w:t>
            </w:r>
            <w:r w:rsidR="000A751F">
              <w:rPr>
                <w:b/>
                <w:sz w:val="28"/>
                <w:szCs w:val="28"/>
              </w:rPr>
              <w:t>,</w:t>
            </w:r>
            <w:r w:rsidR="004073F6">
              <w:rPr>
                <w:b/>
                <w:sz w:val="28"/>
                <w:szCs w:val="28"/>
              </w:rPr>
              <w:t>8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9C4C24">
              <w:rPr>
                <w:bCs/>
                <w:sz w:val="28"/>
                <w:szCs w:val="28"/>
              </w:rPr>
              <w:t>210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</w:t>
            </w:r>
            <w:r w:rsidR="000A751F">
              <w:rPr>
                <w:sz w:val="28"/>
                <w:szCs w:val="28"/>
              </w:rPr>
              <w:t>30,5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</w:t>
            </w:r>
            <w:r w:rsidR="004073F6">
              <w:rPr>
                <w:sz w:val="28"/>
                <w:szCs w:val="28"/>
              </w:rPr>
              <w:t>07,3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2</w:t>
            </w:r>
            <w:r w:rsidR="00D872A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</w:t>
            </w:r>
            <w:r w:rsidR="00D872A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</w:t>
            </w:r>
            <w:r w:rsidR="00D872AA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</w:t>
            </w:r>
            <w:r w:rsidR="00D872AA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молниезащиты,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Экологическая эффективность реализации муниципальной программы будет заключаться в снижении масштабов загрязнения природной среды в </w:t>
      </w:r>
      <w:r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751F">
        <w:rPr>
          <w:b/>
          <w:sz w:val="28"/>
          <w:szCs w:val="28"/>
        </w:rPr>
        <w:t> 6</w:t>
      </w:r>
      <w:r w:rsidR="00D872AA">
        <w:rPr>
          <w:b/>
          <w:sz w:val="28"/>
          <w:szCs w:val="28"/>
        </w:rPr>
        <w:t>00</w:t>
      </w:r>
      <w:r w:rsidR="000A751F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8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</w:t>
      </w:r>
      <w:r w:rsidR="000A751F">
        <w:rPr>
          <w:bCs/>
          <w:sz w:val="28"/>
          <w:szCs w:val="28"/>
        </w:rPr>
        <w:t>210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2</w:t>
      </w:r>
      <w:r w:rsidR="000A751F">
        <w:rPr>
          <w:sz w:val="28"/>
          <w:szCs w:val="28"/>
        </w:rPr>
        <w:t>30,5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2</w:t>
      </w:r>
      <w:r w:rsidR="004073F6">
        <w:rPr>
          <w:sz w:val="28"/>
          <w:szCs w:val="28"/>
        </w:rPr>
        <w:t>07,3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год – 2</w:t>
      </w:r>
      <w:r w:rsidR="00D872AA">
        <w:rPr>
          <w:sz w:val="28"/>
          <w:szCs w:val="28"/>
        </w:rPr>
        <w:t>12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D872AA">
        <w:rPr>
          <w:sz w:val="28"/>
          <w:szCs w:val="28"/>
        </w:rPr>
        <w:t>42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D872AA">
        <w:rPr>
          <w:sz w:val="28"/>
          <w:szCs w:val="28"/>
        </w:rPr>
        <w:t>47</w:t>
      </w:r>
      <w:r>
        <w:rPr>
          <w:sz w:val="28"/>
          <w:szCs w:val="28"/>
        </w:rPr>
        <w:t xml:space="preserve">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</w:t>
      </w:r>
      <w:r w:rsidR="00D872AA">
        <w:rPr>
          <w:sz w:val="28"/>
          <w:szCs w:val="28"/>
        </w:rPr>
        <w:t>52</w:t>
      </w:r>
      <w:r>
        <w:rPr>
          <w:sz w:val="28"/>
          <w:szCs w:val="28"/>
        </w:rPr>
        <w:t xml:space="preserve">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>1 1</w:t>
            </w:r>
            <w:r w:rsidR="00D872AA">
              <w:rPr>
                <w:b/>
                <w:sz w:val="28"/>
                <w:szCs w:val="28"/>
              </w:rPr>
              <w:t>53</w:t>
            </w:r>
            <w:r w:rsidRPr="003C6FCE">
              <w:rPr>
                <w:b/>
                <w:sz w:val="28"/>
                <w:szCs w:val="28"/>
              </w:rPr>
              <w:t>,8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 – 183,6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</w:t>
            </w:r>
            <w:r w:rsidR="004073F6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</w:t>
            </w:r>
            <w:r w:rsidR="00D872AA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</w:t>
            </w:r>
            <w:r w:rsidR="00D872A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</w:t>
            </w:r>
            <w:r w:rsidR="00D872AA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D87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17</w:t>
            </w:r>
            <w:r w:rsidR="00D872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Pr="003C6FCE">
        <w:rPr>
          <w:b/>
          <w:sz w:val="28"/>
          <w:szCs w:val="28"/>
        </w:rPr>
        <w:t>1 1</w:t>
      </w:r>
      <w:r w:rsidR="00D872AA">
        <w:rPr>
          <w:b/>
          <w:sz w:val="28"/>
          <w:szCs w:val="28"/>
        </w:rPr>
        <w:t>53</w:t>
      </w:r>
      <w:r w:rsidRPr="003C6FCE">
        <w:rPr>
          <w:b/>
          <w:sz w:val="28"/>
          <w:szCs w:val="28"/>
        </w:rPr>
        <w:t>,8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183,6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</w:t>
      </w:r>
      <w:r w:rsidR="004073F6">
        <w:rPr>
          <w:sz w:val="28"/>
          <w:szCs w:val="28"/>
        </w:rPr>
        <w:t>55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</w:t>
      </w:r>
      <w:r w:rsidR="00D872AA">
        <w:rPr>
          <w:sz w:val="28"/>
          <w:szCs w:val="28"/>
        </w:rPr>
        <w:t>74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</w:t>
      </w:r>
      <w:r w:rsidR="00D872AA">
        <w:rPr>
          <w:sz w:val="28"/>
          <w:szCs w:val="28"/>
        </w:rPr>
        <w:t>60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</w:t>
      </w:r>
      <w:r w:rsidR="00D872AA">
        <w:rPr>
          <w:sz w:val="28"/>
          <w:szCs w:val="28"/>
        </w:rPr>
        <w:t>61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17</w:t>
      </w:r>
      <w:r w:rsidR="00D872AA">
        <w:rPr>
          <w:sz w:val="28"/>
          <w:szCs w:val="28"/>
        </w:rPr>
        <w:t>4</w:t>
      </w:r>
      <w:r>
        <w:rPr>
          <w:sz w:val="28"/>
          <w:szCs w:val="28"/>
        </w:rPr>
        <w:t xml:space="preserve">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9C4C24">
              <w:rPr>
                <w:b/>
                <w:sz w:val="28"/>
                <w:szCs w:val="28"/>
              </w:rPr>
              <w:t>43</w:t>
            </w:r>
            <w:r w:rsidR="00231D38">
              <w:rPr>
                <w:b/>
                <w:sz w:val="28"/>
                <w:szCs w:val="28"/>
              </w:rPr>
              <w:t>1</w:t>
            </w:r>
            <w:r w:rsidR="009C4C24">
              <w:rPr>
                <w:b/>
                <w:sz w:val="28"/>
                <w:szCs w:val="28"/>
              </w:rPr>
              <w:t>,</w:t>
            </w:r>
            <w:r w:rsidR="00231D38">
              <w:rPr>
                <w:b/>
                <w:sz w:val="28"/>
                <w:szCs w:val="28"/>
              </w:rPr>
              <w:t>5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9C4C24">
              <w:rPr>
                <w:sz w:val="28"/>
                <w:szCs w:val="28"/>
              </w:rPr>
              <w:t>65</w:t>
            </w:r>
            <w:r w:rsidR="00B7148F">
              <w:rPr>
                <w:sz w:val="28"/>
                <w:szCs w:val="28"/>
              </w:rPr>
              <w:t>,</w:t>
            </w:r>
            <w:r w:rsidR="009C4C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</w:t>
            </w:r>
            <w:r w:rsidR="004073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073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32897">
        <w:rPr>
          <w:b/>
          <w:sz w:val="28"/>
          <w:szCs w:val="28"/>
        </w:rPr>
        <w:t>43</w:t>
      </w:r>
      <w:r w:rsidR="004073F6">
        <w:rPr>
          <w:b/>
          <w:sz w:val="28"/>
          <w:szCs w:val="28"/>
        </w:rPr>
        <w:t>1</w:t>
      </w:r>
      <w:r w:rsidR="00156B65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5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</w:t>
      </w:r>
      <w:r w:rsidR="0013289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132897">
        <w:rPr>
          <w:sz w:val="28"/>
          <w:szCs w:val="28"/>
        </w:rPr>
        <w:t>0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</w:t>
      </w:r>
      <w:r w:rsidR="004073F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073F6">
        <w:rPr>
          <w:sz w:val="28"/>
          <w:szCs w:val="28"/>
        </w:rPr>
        <w:t>0</w:t>
      </w:r>
      <w:r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872AA">
              <w:rPr>
                <w:sz w:val="28"/>
                <w:szCs w:val="28"/>
              </w:rPr>
              <w:t>1</w:t>
            </w:r>
            <w:r w:rsidR="00B93EF3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132897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 w:rsidR="00D872AA">
        <w:rPr>
          <w:color w:val="000000"/>
          <w:sz w:val="28"/>
          <w:szCs w:val="28"/>
        </w:rPr>
        <w:t>1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 w:rsidR="00132897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2194"/>
        <w:gridCol w:w="3286"/>
        <w:gridCol w:w="6"/>
        <w:gridCol w:w="1980"/>
        <w:gridCol w:w="817"/>
        <w:gridCol w:w="6"/>
        <w:gridCol w:w="847"/>
        <w:gridCol w:w="19"/>
        <w:gridCol w:w="997"/>
        <w:gridCol w:w="18"/>
        <w:gridCol w:w="914"/>
        <w:gridCol w:w="908"/>
        <w:gridCol w:w="799"/>
        <w:gridCol w:w="705"/>
        <w:gridCol w:w="795"/>
        <w:gridCol w:w="31"/>
        <w:gridCol w:w="850"/>
      </w:tblGrid>
      <w:tr w:rsidR="00D616DE" w:rsidTr="005A2B99">
        <w:trPr>
          <w:trHeight w:hRule="exact" w:val="391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  <w:p w:rsidR="00D616DE" w:rsidRDefault="00D616DE" w:rsidP="00CE1A9D"/>
          <w:p w:rsidR="00D616DE" w:rsidRDefault="00D616DE" w:rsidP="00CE1A9D"/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Нестеркинского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5A2B99">
        <w:trPr>
          <w:trHeight w:hRule="exact" w:val="1438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5A2B99">
        <w:trPr>
          <w:trHeight w:hRule="exact" w:val="3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5A2B99">
        <w:trPr>
          <w:trHeight w:hRule="exact" w:val="21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E001F2">
            <w:pPr>
              <w:shd w:val="clear" w:color="auto" w:fill="FFFFFF"/>
              <w:jc w:val="center"/>
            </w:pPr>
            <w:r>
              <w:t>1</w:t>
            </w:r>
            <w:r w:rsidR="004073F6">
              <w:t> </w:t>
            </w:r>
            <w:r w:rsidR="00E001F2">
              <w:t>600</w:t>
            </w:r>
            <w:r w:rsidR="004073F6">
              <w:t>,</w:t>
            </w:r>
            <w:r w:rsidR="00E001F2">
              <w:t>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210</w:t>
            </w:r>
            <w:r w:rsidR="00D616DE">
              <w:t>,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CE1A9D">
            <w:pPr>
              <w:shd w:val="clear" w:color="auto" w:fill="FFFFFF"/>
              <w:jc w:val="center"/>
            </w:pPr>
            <w:r>
              <w:t>230,5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4073F6">
            <w:pPr>
              <w:shd w:val="clear" w:color="auto" w:fill="FFFFFF"/>
              <w:jc w:val="center"/>
            </w:pPr>
            <w:r>
              <w:t>2</w:t>
            </w:r>
            <w:r w:rsidR="004073F6">
              <w:t>07</w:t>
            </w:r>
            <w:r w:rsidR="00D616DE">
              <w:t>,</w:t>
            </w:r>
            <w:r w:rsidR="004073F6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12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42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47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52</w:t>
            </w:r>
            <w:r w:rsidR="00D616DE">
              <w:t>,0</w:t>
            </w:r>
          </w:p>
        </w:tc>
      </w:tr>
      <w:tr w:rsidR="00D616DE" w:rsidTr="005A2B99">
        <w:trPr>
          <w:trHeight w:hRule="exact" w:val="957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E001F2">
            <w:pPr>
              <w:shd w:val="clear" w:color="auto" w:fill="FFFFFF"/>
              <w:jc w:val="center"/>
            </w:pPr>
            <w:r>
              <w:t>1 1</w:t>
            </w:r>
            <w:r w:rsidR="00E001F2">
              <w:t>53</w:t>
            </w:r>
            <w:r>
              <w:t>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183,6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4073F6">
            <w:pPr>
              <w:shd w:val="clear" w:color="auto" w:fill="FFFFFF"/>
              <w:jc w:val="center"/>
            </w:pPr>
            <w:r>
              <w:t>1</w:t>
            </w:r>
            <w:r w:rsidR="004073F6">
              <w:t>55</w:t>
            </w:r>
            <w:r>
              <w:t>,3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</w:t>
            </w:r>
            <w:r w:rsidR="00E001F2">
              <w:t>74</w:t>
            </w:r>
            <w:r>
              <w:t>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</w:t>
            </w:r>
            <w:r w:rsidR="00E001F2">
              <w:t>60</w:t>
            </w:r>
            <w:r>
              <w:t>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</w:t>
            </w:r>
            <w:r w:rsidR="00E001F2">
              <w:t>61</w:t>
            </w:r>
            <w: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17</w:t>
            </w:r>
            <w:r w:rsidR="00E001F2">
              <w:t>4</w:t>
            </w:r>
            <w:r>
              <w:t>,0</w:t>
            </w:r>
          </w:p>
        </w:tc>
      </w:tr>
      <w:tr w:rsidR="00D616DE" w:rsidTr="005A2B99">
        <w:trPr>
          <w:trHeight w:hRule="exact" w:val="2722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5A2B99">
        <w:trPr>
          <w:trHeight w:hRule="exact" w:val="1142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347,0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</w:tr>
      <w:tr w:rsidR="00D616DE" w:rsidTr="005A2B99">
        <w:trPr>
          <w:trHeight w:hRule="exact" w:val="1413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381732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5A2B99">
        <w:trPr>
          <w:trHeight w:hRule="exact" w:val="1230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21,0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733CC2">
            <w:pPr>
              <w:shd w:val="clear" w:color="auto" w:fill="FFFFFF"/>
              <w:jc w:val="center"/>
            </w:pPr>
            <w:r>
              <w:t>1</w:t>
            </w:r>
            <w:r w:rsidR="00733CC2">
              <w:t>2</w:t>
            </w:r>
            <w:r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13,2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5A2B99">
        <w:trPr>
          <w:trHeight w:hRule="exact" w:val="2276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733CC2" w:rsidP="00CE1A9D">
            <w:pPr>
              <w:shd w:val="clear" w:color="auto" w:fill="FFFFFF"/>
              <w:jc w:val="center"/>
            </w:pPr>
            <w:r>
              <w:t>648</w:t>
            </w:r>
            <w:r w:rsidR="00D616DE">
              <w:t>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100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101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102</w:t>
            </w:r>
            <w:r w:rsidR="00D616DE">
              <w:t>,0</w:t>
            </w:r>
          </w:p>
        </w:tc>
      </w:tr>
      <w:tr w:rsidR="00D616DE" w:rsidTr="005A2B99">
        <w:trPr>
          <w:trHeight w:hRule="exact" w:val="1713"/>
        </w:trPr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5A2B99">
        <w:trPr>
          <w:trHeight w:hRule="exact" w:val="8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BF0CC8">
            <w:pPr>
              <w:shd w:val="clear" w:color="auto" w:fill="FFFFFF"/>
              <w:jc w:val="center"/>
            </w:pPr>
            <w:r>
              <w:t>43</w:t>
            </w:r>
            <w:r w:rsidR="00BF0CC8">
              <w:t>1</w:t>
            </w:r>
            <w:r w:rsidR="00D616DE">
              <w:t>,</w:t>
            </w:r>
            <w:r w:rsidR="00BF0CC8">
              <w:t>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540CDE">
            <w:pPr>
              <w:shd w:val="clear" w:color="auto" w:fill="FFFFFF"/>
              <w:jc w:val="center"/>
            </w:pPr>
            <w:r>
              <w:t>65</w:t>
            </w:r>
            <w:r w:rsidR="0067216E">
              <w:t>,</w:t>
            </w: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42</w:t>
            </w:r>
            <w:r w:rsidR="00D616DE">
              <w:t>,</w:t>
            </w: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5A2B99">
        <w:trPr>
          <w:trHeight w:hRule="exact" w:val="3094"/>
        </w:trPr>
        <w:tc>
          <w:tcPr>
            <w:tcW w:w="5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5A2B99">
        <w:trPr>
          <w:trHeight w:hRule="exact" w:val="1321"/>
        </w:trPr>
        <w:tc>
          <w:tcPr>
            <w:tcW w:w="5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5A2B99">
        <w:trPr>
          <w:trHeight w:hRule="exact" w:val="1851"/>
        </w:trPr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5A2B99">
            <w:pPr>
              <w:shd w:val="clear" w:color="auto" w:fill="FFFFFF"/>
              <w:jc w:val="center"/>
            </w:pPr>
            <w:r>
              <w:t>3</w:t>
            </w:r>
            <w:r w:rsidR="005A2B99">
              <w:t>53</w:t>
            </w:r>
            <w:r>
              <w:t>,</w:t>
            </w:r>
            <w:r w:rsidR="00BF0CC8">
              <w:t>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39</w:t>
            </w:r>
            <w:r w:rsidR="00D616DE">
              <w:t>,</w:t>
            </w: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3</w:t>
            </w:r>
            <w:r w:rsidR="005A2B99">
              <w:t>2</w:t>
            </w:r>
            <w:r>
              <w:t>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5A2B99" w:rsidP="00CE1A9D">
            <w:pPr>
              <w:jc w:val="center"/>
            </w:pPr>
            <w:r>
              <w:t>49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8</w:t>
            </w:r>
            <w:r w:rsidR="005A2B99">
              <w:t>0</w:t>
            </w:r>
            <w: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7</w:t>
            </w:r>
            <w:r w:rsidR="005A2B99">
              <w:t>0</w:t>
            </w:r>
            <w:r>
              <w:t>,3</w:t>
            </w:r>
          </w:p>
        </w:tc>
      </w:tr>
      <w:tr w:rsidR="00D616DE" w:rsidTr="005A2B99">
        <w:trPr>
          <w:trHeight w:hRule="exact" w:val="113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электромигафонов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5A2B99">
        <w:trPr>
          <w:trHeight w:hRule="exact" w:val="1123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</w:tc>
      </w:tr>
      <w:tr w:rsidR="005A2B99" w:rsidTr="005A2B99">
        <w:trPr>
          <w:trHeight w:val="112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B99" w:rsidRDefault="005A2B99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B99" w:rsidRDefault="005A2B99" w:rsidP="00CE1A9D"/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7D57E1">
            <w:pPr>
              <w:shd w:val="clear" w:color="auto" w:fill="FFFFFF"/>
              <w:spacing w:line="298" w:lineRule="exact"/>
              <w:ind w:left="62"/>
            </w:pPr>
            <w:r>
              <w:t>Мероприятие 2.1.5</w:t>
            </w:r>
          </w:p>
          <w:p w:rsidR="005A2B99" w:rsidRPr="00547E81" w:rsidRDefault="005A2B99" w:rsidP="007D57E1">
            <w:pPr>
              <w:shd w:val="clear" w:color="auto" w:fill="FFFFFF"/>
              <w:spacing w:line="298" w:lineRule="exact"/>
              <w:ind w:left="62"/>
            </w:pPr>
            <w:r w:rsidRPr="00547E81">
              <w:t>Проведение мероприятий по ликвидации очагов особо опасных болезней животных, в том числе африканской чумы свиней, ящура</w:t>
            </w:r>
          </w:p>
          <w:p w:rsidR="005A2B99" w:rsidRDefault="005A2B99">
            <w:pPr>
              <w:spacing w:after="200" w:line="276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>
            <w:pPr>
              <w:spacing w:after="200" w:line="276" w:lineRule="auto"/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>
            <w:pPr>
              <w:spacing w:after="200" w:line="276" w:lineRule="auto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47E8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47E8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</w:tr>
      <w:tr w:rsidR="000C6E6E" w:rsidTr="005A2B99">
        <w:trPr>
          <w:trHeight w:hRule="exact" w:val="10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1.4.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Подпрограмма 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D06F18" w:rsidP="00CE1A9D">
            <w:pPr>
              <w:shd w:val="clear" w:color="auto" w:fill="FFFFFF"/>
              <w:jc w:val="center"/>
            </w:pPr>
            <w:r>
              <w:t>1</w:t>
            </w:r>
            <w:r w:rsidR="00B93EF3">
              <w:t>5,5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</w:tr>
      <w:tr w:rsidR="000C6E6E" w:rsidTr="005A2B99">
        <w:trPr>
          <w:trHeight w:hRule="exact" w:val="133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</w:tr>
      <w:tr w:rsidR="000C6E6E" w:rsidTr="005A2B99">
        <w:trPr>
          <w:trHeight w:hRule="exact" w:val="79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</w:tr>
      <w:tr w:rsidR="000C6E6E" w:rsidTr="005A2B99">
        <w:trPr>
          <w:trHeight w:hRule="exact" w:val="853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0C6E6E">
            <w:pPr>
              <w:shd w:val="clear" w:color="auto" w:fill="FFFFFF"/>
              <w:spacing w:line="298" w:lineRule="exact"/>
            </w:pPr>
            <w:r>
              <w:t>Мероприятие3.1.</w:t>
            </w:r>
            <w:r w:rsidR="00A178ED">
              <w:t>2</w:t>
            </w:r>
            <w:r>
              <w:t xml:space="preserve">.Проведение обследования акватории водных объектов </w:t>
            </w:r>
            <w:r w:rsidR="00A178ED">
              <w:t>водолазами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D06F18" w:rsidP="00CE1A9D">
            <w:pPr>
              <w:shd w:val="clear" w:color="auto" w:fill="FFFFFF"/>
              <w:jc w:val="center"/>
            </w:pPr>
            <w:r>
              <w:t>1</w:t>
            </w:r>
            <w:r w:rsidR="000C6E6E">
              <w:t>5,5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10</w:t>
            </w:r>
            <w:r w:rsidR="00D06F18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</w:t>
            </w:r>
            <w:r w:rsidR="000C6E6E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</w:t>
            </w:r>
            <w:r w:rsidR="000C6E6E"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</w:t>
            </w:r>
            <w:r w:rsidR="000C6E6E">
              <w:t>0</w:t>
            </w:r>
          </w:p>
        </w:tc>
      </w:tr>
    </w:tbl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t xml:space="preserve">проведение профилактических </w:t>
            </w:r>
            <w:r>
              <w:lastRenderedPageBreak/>
              <w:t>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 xml:space="preserve">увеличение масштаба последствий и количества пострадавших при возникновении чрезвычайных </w:t>
            </w:r>
            <w:r>
              <w:lastRenderedPageBreak/>
              <w:t>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A178ED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6029"/>
    <w:rsid w:val="00017D03"/>
    <w:rsid w:val="00041C74"/>
    <w:rsid w:val="0005644A"/>
    <w:rsid w:val="00064EE4"/>
    <w:rsid w:val="00073848"/>
    <w:rsid w:val="000A751F"/>
    <w:rsid w:val="000B2E86"/>
    <w:rsid w:val="000C0B06"/>
    <w:rsid w:val="000C6E6E"/>
    <w:rsid w:val="00124429"/>
    <w:rsid w:val="00132897"/>
    <w:rsid w:val="00156B65"/>
    <w:rsid w:val="001639A7"/>
    <w:rsid w:val="001A7BAD"/>
    <w:rsid w:val="001B6660"/>
    <w:rsid w:val="001D2D8C"/>
    <w:rsid w:val="0020409E"/>
    <w:rsid w:val="002042B6"/>
    <w:rsid w:val="002277F2"/>
    <w:rsid w:val="00231D38"/>
    <w:rsid w:val="0027498B"/>
    <w:rsid w:val="00294D0D"/>
    <w:rsid w:val="00311549"/>
    <w:rsid w:val="0034745D"/>
    <w:rsid w:val="00350FF6"/>
    <w:rsid w:val="00381732"/>
    <w:rsid w:val="00386B28"/>
    <w:rsid w:val="0039288E"/>
    <w:rsid w:val="00395B4B"/>
    <w:rsid w:val="003A2CAC"/>
    <w:rsid w:val="004073F6"/>
    <w:rsid w:val="004322DB"/>
    <w:rsid w:val="00437FA2"/>
    <w:rsid w:val="00472B6D"/>
    <w:rsid w:val="00474655"/>
    <w:rsid w:val="00495218"/>
    <w:rsid w:val="004B6296"/>
    <w:rsid w:val="004C5DA2"/>
    <w:rsid w:val="00504FA6"/>
    <w:rsid w:val="0050766D"/>
    <w:rsid w:val="00536207"/>
    <w:rsid w:val="00540CDE"/>
    <w:rsid w:val="00547E81"/>
    <w:rsid w:val="00557D6B"/>
    <w:rsid w:val="005A2B99"/>
    <w:rsid w:val="005D6FE7"/>
    <w:rsid w:val="00635BF8"/>
    <w:rsid w:val="006423AC"/>
    <w:rsid w:val="00642F78"/>
    <w:rsid w:val="006462B5"/>
    <w:rsid w:val="006622DF"/>
    <w:rsid w:val="0067216E"/>
    <w:rsid w:val="006B3857"/>
    <w:rsid w:val="006D26A1"/>
    <w:rsid w:val="006E7DF3"/>
    <w:rsid w:val="006F5DE3"/>
    <w:rsid w:val="00715E3D"/>
    <w:rsid w:val="007170BF"/>
    <w:rsid w:val="00733CC2"/>
    <w:rsid w:val="007540FF"/>
    <w:rsid w:val="00761430"/>
    <w:rsid w:val="007805D1"/>
    <w:rsid w:val="00784B75"/>
    <w:rsid w:val="007A3AB7"/>
    <w:rsid w:val="007B76BA"/>
    <w:rsid w:val="007D57E1"/>
    <w:rsid w:val="007D5F14"/>
    <w:rsid w:val="0083539E"/>
    <w:rsid w:val="00841608"/>
    <w:rsid w:val="008517A7"/>
    <w:rsid w:val="0085592B"/>
    <w:rsid w:val="00861A3F"/>
    <w:rsid w:val="00876C72"/>
    <w:rsid w:val="008B1B27"/>
    <w:rsid w:val="008B50F0"/>
    <w:rsid w:val="009023FA"/>
    <w:rsid w:val="009176F1"/>
    <w:rsid w:val="00936131"/>
    <w:rsid w:val="00940C33"/>
    <w:rsid w:val="00972316"/>
    <w:rsid w:val="00993474"/>
    <w:rsid w:val="009A4D23"/>
    <w:rsid w:val="009A6E0F"/>
    <w:rsid w:val="009C4C24"/>
    <w:rsid w:val="00A178ED"/>
    <w:rsid w:val="00A447CA"/>
    <w:rsid w:val="00AA0919"/>
    <w:rsid w:val="00AA3DCE"/>
    <w:rsid w:val="00AA41F8"/>
    <w:rsid w:val="00AA65F9"/>
    <w:rsid w:val="00AB1843"/>
    <w:rsid w:val="00AD30D8"/>
    <w:rsid w:val="00AF7BDC"/>
    <w:rsid w:val="00B45217"/>
    <w:rsid w:val="00B56AD1"/>
    <w:rsid w:val="00B65C10"/>
    <w:rsid w:val="00B7148F"/>
    <w:rsid w:val="00B7750D"/>
    <w:rsid w:val="00B93EF3"/>
    <w:rsid w:val="00BE6D89"/>
    <w:rsid w:val="00BF0CC8"/>
    <w:rsid w:val="00BF7B48"/>
    <w:rsid w:val="00C02B37"/>
    <w:rsid w:val="00C6027E"/>
    <w:rsid w:val="00C66E44"/>
    <w:rsid w:val="00CE1A9D"/>
    <w:rsid w:val="00D06F18"/>
    <w:rsid w:val="00D616DE"/>
    <w:rsid w:val="00D74D93"/>
    <w:rsid w:val="00D77EB6"/>
    <w:rsid w:val="00D872AA"/>
    <w:rsid w:val="00D920CD"/>
    <w:rsid w:val="00DF06E7"/>
    <w:rsid w:val="00E001F2"/>
    <w:rsid w:val="00E4545E"/>
    <w:rsid w:val="00E62CCA"/>
    <w:rsid w:val="00EE0DF9"/>
    <w:rsid w:val="00EF441B"/>
    <w:rsid w:val="00F1714C"/>
    <w:rsid w:val="00F373DE"/>
    <w:rsid w:val="00F60ECE"/>
    <w:rsid w:val="00F71B7E"/>
    <w:rsid w:val="00F84968"/>
    <w:rsid w:val="00F8656C"/>
    <w:rsid w:val="00FA0D5B"/>
    <w:rsid w:val="00FB25F1"/>
    <w:rsid w:val="00FD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7739-A187-4FD9-A3F1-2515792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7585</Words>
  <Characters>43237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2017-03-29T06:22:00Z</cp:lastPrinted>
  <dcterms:created xsi:type="dcterms:W3CDTF">2017-03-29T06:29:00Z</dcterms:created>
  <dcterms:modified xsi:type="dcterms:W3CDTF">2017-03-29T06:29:00Z</dcterms:modified>
</cp:coreProperties>
</file>